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929A" w14:textId="54DCBC7F" w:rsidR="00CC4C1D" w:rsidRPr="00113F04" w:rsidRDefault="00347041" w:rsidP="00CC4C1D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MANUFACTURER’S </w:t>
      </w:r>
      <w:r w:rsidR="00584146">
        <w:rPr>
          <w:b/>
          <w:bCs/>
          <w:sz w:val="36"/>
          <w:szCs w:val="36"/>
          <w:lang w:val="en-US"/>
        </w:rPr>
        <w:t>MANDATE</w:t>
      </w:r>
      <w:r>
        <w:rPr>
          <w:b/>
          <w:bCs/>
          <w:sz w:val="36"/>
          <w:szCs w:val="36"/>
          <w:lang w:val="en-US"/>
        </w:rPr>
        <w:t xml:space="preserve"> FOR TRANSLATION</w:t>
      </w:r>
    </w:p>
    <w:p w14:paraId="0A98CC40" w14:textId="77777777" w:rsidR="00347041" w:rsidRDefault="00347041">
      <w:pPr>
        <w:rPr>
          <w:b/>
          <w:bCs/>
          <w:lang w:val="en-US"/>
        </w:rPr>
      </w:pPr>
    </w:p>
    <w:p w14:paraId="298A4DDD" w14:textId="12B6D1BC" w:rsidR="00CC4C1D" w:rsidRDefault="00CC4C1D">
      <w:pPr>
        <w:rPr>
          <w:lang w:val="en-US"/>
        </w:rPr>
      </w:pPr>
      <w:r w:rsidRPr="00CC4C1D">
        <w:rPr>
          <w:b/>
          <w:bCs/>
          <w:lang w:val="en-US"/>
        </w:rPr>
        <w:t>THIS AGREEMENT</w:t>
      </w:r>
      <w:r w:rsidR="00113F04">
        <w:rPr>
          <w:b/>
          <w:bCs/>
          <w:lang w:val="en-US"/>
        </w:rPr>
        <w:t xml:space="preserve"> </w:t>
      </w:r>
      <w:r w:rsidR="00113F04" w:rsidRPr="00113F04">
        <w:rPr>
          <w:lang w:val="en-US"/>
        </w:rPr>
        <w:t>(hereinafter: “</w:t>
      </w:r>
      <w:r w:rsidR="00113F04" w:rsidRPr="00113F04">
        <w:rPr>
          <w:b/>
          <w:bCs/>
          <w:lang w:val="en-US"/>
        </w:rPr>
        <w:t>Agreement</w:t>
      </w:r>
      <w:r w:rsidR="00113F04" w:rsidRPr="00113F04">
        <w:rPr>
          <w:lang w:val="en-US"/>
        </w:rPr>
        <w:t>”)</w:t>
      </w:r>
      <w:r w:rsidRPr="00CC4C1D">
        <w:rPr>
          <w:lang w:val="en-US"/>
        </w:rPr>
        <w:t xml:space="preserve"> </w:t>
      </w:r>
      <w:r w:rsidR="00977A38">
        <w:rPr>
          <w:lang w:val="en-US"/>
        </w:rPr>
        <w:t xml:space="preserve">is </w:t>
      </w:r>
      <w:r w:rsidR="00B63B21">
        <w:rPr>
          <w:lang w:val="en-US"/>
        </w:rPr>
        <w:t>concluded</w:t>
      </w:r>
      <w:r w:rsidRPr="00CC4C1D">
        <w:rPr>
          <w:lang w:val="en-US"/>
        </w:rPr>
        <w:t xml:space="preserve"> on 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].</w:t>
      </w:r>
    </w:p>
    <w:p w14:paraId="01407CE3" w14:textId="4F666C2B" w:rsidR="00CC4C1D" w:rsidRPr="00CC4C1D" w:rsidRDefault="00CC4C1D">
      <w:pPr>
        <w:rPr>
          <w:b/>
          <w:bCs/>
          <w:lang w:val="en-US"/>
        </w:rPr>
      </w:pPr>
      <w:r w:rsidRPr="00CC4C1D">
        <w:rPr>
          <w:b/>
          <w:bCs/>
          <w:lang w:val="en-US"/>
        </w:rPr>
        <w:t>BETWEEN</w:t>
      </w:r>
      <w:r>
        <w:rPr>
          <w:b/>
          <w:bCs/>
          <w:lang w:val="en-US"/>
        </w:rPr>
        <w:t>:</w:t>
      </w:r>
    </w:p>
    <w:p w14:paraId="02BB1E36" w14:textId="3C0C7DB2" w:rsidR="00232216" w:rsidRDefault="00232216" w:rsidP="00232216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t>[xx]</w:t>
      </w:r>
      <w:r w:rsidRPr="00F31943">
        <w:rPr>
          <w:b/>
          <w:bCs/>
          <w:lang w:val="en-US"/>
        </w:rPr>
        <w:t xml:space="preserve"> </w:t>
      </w:r>
      <w:r w:rsidRPr="00E128EB">
        <w:rPr>
          <w:lang w:val="en-US"/>
        </w:rPr>
        <w:t xml:space="preserve"> with its registered office in </w:t>
      </w:r>
      <w:r>
        <w:rPr>
          <w:lang w:val="en-US"/>
        </w:rPr>
        <w:t>[xx]</w:t>
      </w:r>
      <w:r w:rsidRPr="00E128EB">
        <w:rPr>
          <w:lang w:val="en-US"/>
        </w:rPr>
        <w:t xml:space="preserve">, </w:t>
      </w:r>
      <w:r w:rsidR="00492A23" w:rsidRPr="00E128EB">
        <w:rPr>
          <w:lang w:val="en-US"/>
        </w:rPr>
        <w:t>entered in</w:t>
      </w:r>
      <w:r w:rsidR="00492A23">
        <w:rPr>
          <w:lang w:val="en-US"/>
        </w:rPr>
        <w:t>to</w:t>
      </w:r>
      <w:r w:rsidR="00492A23" w:rsidRPr="00E128EB">
        <w:rPr>
          <w:lang w:val="en-US"/>
        </w:rPr>
        <w:t xml:space="preserve"> the </w:t>
      </w:r>
      <w:r w:rsidR="00492A23">
        <w:rPr>
          <w:lang w:val="en-US"/>
        </w:rPr>
        <w:t xml:space="preserve">official </w:t>
      </w:r>
      <w:r w:rsidR="00492A23">
        <w:rPr>
          <w:lang w:val="en-US"/>
        </w:rPr>
        <w:t xml:space="preserve">company </w:t>
      </w:r>
      <w:r w:rsidR="00492A23" w:rsidRPr="00E128EB">
        <w:rPr>
          <w:lang w:val="en-US"/>
        </w:rPr>
        <w:t xml:space="preserve">register under number </w:t>
      </w:r>
      <w:r w:rsidR="00492A23">
        <w:rPr>
          <w:lang w:val="en-US"/>
        </w:rPr>
        <w:t>[xx]</w:t>
      </w:r>
      <w:r w:rsidR="00492A23" w:rsidRPr="00E128EB">
        <w:rPr>
          <w:lang w:val="en-US"/>
        </w:rPr>
        <w:t xml:space="preserve">, tax identification number: </w:t>
      </w:r>
      <w:r w:rsidR="00492A23">
        <w:rPr>
          <w:lang w:val="en-US"/>
        </w:rPr>
        <w:t>[xx]</w:t>
      </w:r>
      <w:r w:rsidR="00492A23" w:rsidRPr="00CC4C1D">
        <w:rPr>
          <w:lang w:val="en-US"/>
        </w:rPr>
        <w:t xml:space="preserve"> </w:t>
      </w:r>
      <w:r w:rsidRPr="00CC4C1D">
        <w:rPr>
          <w:lang w:val="en-US"/>
        </w:rPr>
        <w:t>(</w:t>
      </w:r>
      <w:r>
        <w:rPr>
          <w:lang w:val="en-US"/>
        </w:rPr>
        <w:t>hereinafter: ”</w:t>
      </w:r>
      <w:r>
        <w:rPr>
          <w:b/>
          <w:bCs/>
          <w:lang w:val="en-US"/>
        </w:rPr>
        <w:t>Manufacturer</w:t>
      </w:r>
      <w:r w:rsidRPr="00CC4C1D">
        <w:rPr>
          <w:lang w:val="en-US"/>
        </w:rPr>
        <w:t>")</w:t>
      </w:r>
      <w:r>
        <w:rPr>
          <w:lang w:val="en-US"/>
        </w:rPr>
        <w:t xml:space="preserve">, </w:t>
      </w:r>
      <w:r w:rsidR="00492A23">
        <w:rPr>
          <w:lang w:val="en-US"/>
        </w:rPr>
        <w:t xml:space="preserve">duly </w:t>
      </w:r>
      <w:r>
        <w:rPr>
          <w:lang w:val="en-US"/>
        </w:rPr>
        <w:t>represented by</w:t>
      </w:r>
      <w:r w:rsidR="00492A23">
        <w:rPr>
          <w:lang w:val="en-US"/>
        </w:rPr>
        <w:t>:</w:t>
      </w:r>
    </w:p>
    <w:p w14:paraId="5F82AEEB" w14:textId="77777777" w:rsidR="00232216" w:rsidRDefault="00232216" w:rsidP="00232216">
      <w:pPr>
        <w:spacing w:after="0"/>
        <w:jc w:val="both"/>
        <w:rPr>
          <w:lang w:val="en-US"/>
        </w:rPr>
      </w:pPr>
      <w:r>
        <w:rPr>
          <w:lang w:val="en-US"/>
        </w:rPr>
        <w:t>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 – 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</w:t>
      </w:r>
    </w:p>
    <w:p w14:paraId="337D5B25" w14:textId="77777777" w:rsidR="00232216" w:rsidRDefault="00232216" w:rsidP="00232216">
      <w:pPr>
        <w:spacing w:after="0"/>
        <w:jc w:val="both"/>
        <w:rPr>
          <w:lang w:val="en-US"/>
        </w:rPr>
      </w:pPr>
      <w:r>
        <w:rPr>
          <w:lang w:val="en-US"/>
        </w:rPr>
        <w:t>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 – 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</w:t>
      </w:r>
    </w:p>
    <w:p w14:paraId="54F38734" w14:textId="6B1E68E4" w:rsidR="00232216" w:rsidRDefault="00232216" w:rsidP="000C5546">
      <w:pPr>
        <w:spacing w:after="0"/>
        <w:jc w:val="both"/>
        <w:rPr>
          <w:b/>
          <w:bCs/>
          <w:lang w:val="en-US"/>
        </w:rPr>
      </w:pPr>
    </w:p>
    <w:p w14:paraId="08AAD37D" w14:textId="2F07292D" w:rsidR="00232216" w:rsidRPr="00232216" w:rsidRDefault="00232216" w:rsidP="000C5546">
      <w:pPr>
        <w:spacing w:after="0"/>
        <w:jc w:val="both"/>
        <w:rPr>
          <w:lang w:val="en-US"/>
        </w:rPr>
      </w:pPr>
      <w:r w:rsidRPr="00232216">
        <w:rPr>
          <w:lang w:val="en-US"/>
        </w:rPr>
        <w:t>and</w:t>
      </w:r>
    </w:p>
    <w:p w14:paraId="3885DEA4" w14:textId="77777777" w:rsidR="00232216" w:rsidRDefault="00232216" w:rsidP="000C5546">
      <w:pPr>
        <w:spacing w:after="0"/>
        <w:jc w:val="both"/>
        <w:rPr>
          <w:b/>
          <w:bCs/>
          <w:lang w:val="en-US"/>
        </w:rPr>
      </w:pPr>
    </w:p>
    <w:p w14:paraId="6379651D" w14:textId="41317899" w:rsidR="000C5546" w:rsidRDefault="00F31943" w:rsidP="000C5546">
      <w:pPr>
        <w:spacing w:after="0"/>
        <w:jc w:val="both"/>
        <w:rPr>
          <w:lang w:val="en-US"/>
        </w:rPr>
      </w:pPr>
      <w:r>
        <w:rPr>
          <w:b/>
          <w:bCs/>
          <w:lang w:val="en-US"/>
        </w:rPr>
        <w:t>[xx]</w:t>
      </w:r>
      <w:r w:rsidR="000C5546" w:rsidRPr="00E128EB">
        <w:rPr>
          <w:lang w:val="en-US"/>
        </w:rPr>
        <w:t xml:space="preserve"> with its registered office in </w:t>
      </w:r>
      <w:r>
        <w:rPr>
          <w:lang w:val="en-US"/>
        </w:rPr>
        <w:t>[xx]</w:t>
      </w:r>
      <w:r w:rsidR="000C5546" w:rsidRPr="00E128EB">
        <w:rPr>
          <w:lang w:val="en-US"/>
        </w:rPr>
        <w:t xml:space="preserve">, entered in the </w:t>
      </w:r>
      <w:r w:rsidR="002B3B0F">
        <w:rPr>
          <w:lang w:val="en-US"/>
        </w:rPr>
        <w:t xml:space="preserve">official </w:t>
      </w:r>
      <w:r w:rsidR="00232216">
        <w:rPr>
          <w:lang w:val="en-US"/>
        </w:rPr>
        <w:t xml:space="preserve">KRS </w:t>
      </w:r>
      <w:r w:rsidR="000C5546" w:rsidRPr="00E128EB">
        <w:rPr>
          <w:lang w:val="en-US"/>
        </w:rPr>
        <w:t xml:space="preserve">register under number </w:t>
      </w:r>
      <w:r>
        <w:rPr>
          <w:lang w:val="en-US"/>
        </w:rPr>
        <w:t>[xx]</w:t>
      </w:r>
      <w:r w:rsidR="000C5546" w:rsidRPr="00E128EB">
        <w:rPr>
          <w:lang w:val="en-US"/>
        </w:rPr>
        <w:t>, tax identification number</w:t>
      </w:r>
      <w:r w:rsidR="00232216">
        <w:rPr>
          <w:lang w:val="en-US"/>
        </w:rPr>
        <w:t xml:space="preserve"> (</w:t>
      </w:r>
      <w:r w:rsidR="00B6515D">
        <w:rPr>
          <w:lang w:val="en-US"/>
        </w:rPr>
        <w:t>NIP</w:t>
      </w:r>
      <w:r w:rsidR="00232216">
        <w:rPr>
          <w:lang w:val="en-US"/>
        </w:rPr>
        <w:t>)</w:t>
      </w:r>
      <w:r w:rsidR="000C5546" w:rsidRPr="00E128EB">
        <w:rPr>
          <w:lang w:val="en-US"/>
        </w:rPr>
        <w:t xml:space="preserve">: </w:t>
      </w:r>
      <w:r>
        <w:rPr>
          <w:lang w:val="en-US"/>
        </w:rPr>
        <w:t>[xx]</w:t>
      </w:r>
      <w:r w:rsidR="000C5546" w:rsidRPr="00E128EB">
        <w:rPr>
          <w:lang w:val="en-US"/>
        </w:rPr>
        <w:t>,</w:t>
      </w:r>
      <w:r w:rsidR="00113F04">
        <w:rPr>
          <w:lang w:val="en-US"/>
        </w:rPr>
        <w:t xml:space="preserve"> </w:t>
      </w:r>
      <w:r w:rsidR="000C5546">
        <w:rPr>
          <w:lang w:val="en-US"/>
        </w:rPr>
        <w:t>(hereinafter: “</w:t>
      </w:r>
      <w:r>
        <w:rPr>
          <w:b/>
          <w:bCs/>
          <w:lang w:val="en-US"/>
        </w:rPr>
        <w:t>Distributor</w:t>
      </w:r>
      <w:r w:rsidR="000C5546">
        <w:rPr>
          <w:lang w:val="en-US"/>
        </w:rPr>
        <w:t xml:space="preserve">”), </w:t>
      </w:r>
      <w:r w:rsidR="00492A23">
        <w:rPr>
          <w:lang w:val="en-US"/>
        </w:rPr>
        <w:t xml:space="preserve">duly </w:t>
      </w:r>
      <w:r w:rsidR="000C5546">
        <w:rPr>
          <w:lang w:val="en-US"/>
        </w:rPr>
        <w:t>represented by:</w:t>
      </w:r>
    </w:p>
    <w:p w14:paraId="3144B929" w14:textId="3B4C4898" w:rsidR="00CC4C1D" w:rsidRDefault="00CC4C1D" w:rsidP="00587666">
      <w:pPr>
        <w:spacing w:after="0"/>
        <w:jc w:val="both"/>
        <w:rPr>
          <w:lang w:val="en-US"/>
        </w:rPr>
      </w:pPr>
      <w:r>
        <w:rPr>
          <w:lang w:val="en-US"/>
        </w:rPr>
        <w:t>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 – 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</w:t>
      </w:r>
    </w:p>
    <w:p w14:paraId="41360575" w14:textId="03570AEF" w:rsidR="00CC4C1D" w:rsidRDefault="00CC4C1D" w:rsidP="00587666">
      <w:pPr>
        <w:spacing w:after="0"/>
        <w:jc w:val="both"/>
        <w:rPr>
          <w:lang w:val="en-US"/>
        </w:rPr>
      </w:pPr>
      <w:r>
        <w:rPr>
          <w:lang w:val="en-US"/>
        </w:rPr>
        <w:t>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 – [</w:t>
      </w:r>
      <w:r w:rsidRPr="00CC4C1D">
        <w:rPr>
          <w:highlight w:val="yellow"/>
          <w:lang w:val="en-US"/>
        </w:rPr>
        <w:t>xx</w:t>
      </w:r>
      <w:r>
        <w:rPr>
          <w:lang w:val="en-US"/>
        </w:rPr>
        <w:t>]</w:t>
      </w:r>
    </w:p>
    <w:p w14:paraId="3D4B2EEB" w14:textId="77777777" w:rsidR="00CC4C1D" w:rsidRDefault="00CC4C1D" w:rsidP="00587666">
      <w:pPr>
        <w:spacing w:after="0"/>
        <w:jc w:val="both"/>
        <w:rPr>
          <w:lang w:val="en-US"/>
        </w:rPr>
      </w:pPr>
    </w:p>
    <w:p w14:paraId="49E7144C" w14:textId="77777777" w:rsidR="00113F04" w:rsidRPr="00B96267" w:rsidRDefault="00113F04" w:rsidP="00113F04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lang w:val="en-GB"/>
        </w:rPr>
      </w:pPr>
      <w:r w:rsidRPr="00B96267">
        <w:rPr>
          <w:rFonts w:cstheme="minorHAnsi"/>
          <w:color w:val="000000"/>
          <w:lang w:val="en-GB"/>
        </w:rPr>
        <w:t>hereinafter individually referred to as "</w:t>
      </w:r>
      <w:r w:rsidRPr="00B96267">
        <w:rPr>
          <w:rFonts w:cstheme="minorHAnsi"/>
          <w:b/>
          <w:bCs/>
          <w:color w:val="000000"/>
          <w:lang w:val="en-GB"/>
        </w:rPr>
        <w:t>Party</w:t>
      </w:r>
      <w:r w:rsidRPr="00B96267">
        <w:rPr>
          <w:rFonts w:cstheme="minorHAnsi"/>
          <w:color w:val="000000"/>
          <w:lang w:val="en-GB"/>
        </w:rPr>
        <w:t>” or collectively as the "</w:t>
      </w:r>
      <w:r w:rsidRPr="00B96267">
        <w:rPr>
          <w:rFonts w:cstheme="minorHAnsi"/>
          <w:b/>
          <w:bCs/>
          <w:color w:val="000000"/>
          <w:lang w:val="en-GB"/>
        </w:rPr>
        <w:t>Parties</w:t>
      </w:r>
      <w:r w:rsidRPr="00B96267">
        <w:rPr>
          <w:rFonts w:cstheme="minorHAnsi"/>
          <w:color w:val="000000"/>
          <w:lang w:val="en-GB"/>
        </w:rPr>
        <w:t>”.</w:t>
      </w:r>
    </w:p>
    <w:p w14:paraId="58CCF530" w14:textId="77777777" w:rsidR="00113F04" w:rsidRPr="00113F04" w:rsidRDefault="00113F04" w:rsidP="00946CBC">
      <w:pPr>
        <w:spacing w:line="276" w:lineRule="auto"/>
        <w:rPr>
          <w:b/>
          <w:lang w:val="en-GB"/>
        </w:rPr>
      </w:pPr>
    </w:p>
    <w:p w14:paraId="2D64F784" w14:textId="1215117C" w:rsidR="00F629F8" w:rsidRPr="00935D19" w:rsidRDefault="00CC4C1D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WHEREAS:</w:t>
      </w:r>
    </w:p>
    <w:p w14:paraId="07F0E81D" w14:textId="21EC4C8B" w:rsidR="00F31943" w:rsidRDefault="00F31943" w:rsidP="00F31943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US"/>
        </w:rPr>
      </w:pPr>
      <w:bookmarkStart w:id="0" w:name="_Hlk59616226"/>
      <w:r w:rsidRPr="00F31943">
        <w:rPr>
          <w:lang w:val="en-US"/>
        </w:rPr>
        <w:t xml:space="preserve">The Manufacturer </w:t>
      </w:r>
      <w:r w:rsidR="00232216">
        <w:rPr>
          <w:lang w:val="en-US"/>
        </w:rPr>
        <w:t>produces</w:t>
      </w:r>
      <w:r w:rsidRPr="00F31943">
        <w:rPr>
          <w:lang w:val="en-US"/>
        </w:rPr>
        <w:t xml:space="preserve"> [</w:t>
      </w:r>
      <w:r w:rsidRPr="00F31943">
        <w:rPr>
          <w:highlight w:val="yellow"/>
          <w:lang w:val="en-US"/>
        </w:rPr>
        <w:t>xx</w:t>
      </w:r>
      <w:r w:rsidRPr="00F31943">
        <w:rPr>
          <w:lang w:val="en-US"/>
        </w:rPr>
        <w:t>] medical device (hereinafter: “</w:t>
      </w:r>
      <w:r w:rsidRPr="00F31943">
        <w:rPr>
          <w:b/>
          <w:bCs/>
          <w:lang w:val="en-US"/>
        </w:rPr>
        <w:t>Device</w:t>
      </w:r>
      <w:r w:rsidRPr="00F31943">
        <w:rPr>
          <w:lang w:val="en-US"/>
        </w:rPr>
        <w:t>”) in the meaning of art. 2 (30) of the Regulation (E</w:t>
      </w:r>
      <w:r>
        <w:rPr>
          <w:lang w:val="en-US"/>
        </w:rPr>
        <w:t>U</w:t>
      </w:r>
      <w:r w:rsidRPr="00F31943">
        <w:rPr>
          <w:lang w:val="en-US"/>
        </w:rPr>
        <w:t xml:space="preserve">) 2017/745 </w:t>
      </w:r>
      <w:r>
        <w:rPr>
          <w:lang w:val="en-US"/>
        </w:rPr>
        <w:t>o</w:t>
      </w:r>
      <w:r w:rsidRPr="00F31943">
        <w:rPr>
          <w:lang w:val="en-US"/>
        </w:rPr>
        <w:t xml:space="preserve">f </w:t>
      </w:r>
      <w:r>
        <w:rPr>
          <w:lang w:val="en-US"/>
        </w:rPr>
        <w:t>t</w:t>
      </w:r>
      <w:r w:rsidRPr="00F31943">
        <w:rPr>
          <w:lang w:val="en-US"/>
        </w:rPr>
        <w:t xml:space="preserve">he European Parliament </w:t>
      </w:r>
      <w:r>
        <w:rPr>
          <w:lang w:val="en-US"/>
        </w:rPr>
        <w:t>a</w:t>
      </w:r>
      <w:r w:rsidRPr="00F31943">
        <w:rPr>
          <w:lang w:val="en-US"/>
        </w:rPr>
        <w:t xml:space="preserve">nd </w:t>
      </w:r>
      <w:r>
        <w:rPr>
          <w:lang w:val="en-US"/>
        </w:rPr>
        <w:t>o</w:t>
      </w:r>
      <w:r w:rsidRPr="00F31943">
        <w:rPr>
          <w:lang w:val="en-US"/>
        </w:rPr>
        <w:t xml:space="preserve">f </w:t>
      </w:r>
      <w:r>
        <w:rPr>
          <w:lang w:val="en-US"/>
        </w:rPr>
        <w:t>t</w:t>
      </w:r>
      <w:r w:rsidRPr="00F31943">
        <w:rPr>
          <w:lang w:val="en-US"/>
        </w:rPr>
        <w:t>he Council of 5 April 2017 on medical devices, amending Directive 2001/83/EC, Regulation (EC) No 178/2002 and Regulation (EC) No 1223/2009 and repealing Council Directives 90/385/EEC and 93/42/EEC</w:t>
      </w:r>
      <w:r>
        <w:rPr>
          <w:lang w:val="en-US"/>
        </w:rPr>
        <w:t xml:space="preserve"> (hereinafter: “</w:t>
      </w:r>
      <w:r w:rsidRPr="00F31943">
        <w:rPr>
          <w:b/>
          <w:bCs/>
          <w:lang w:val="en-US"/>
        </w:rPr>
        <w:t>MDR</w:t>
      </w:r>
      <w:r>
        <w:rPr>
          <w:lang w:val="en-US"/>
        </w:rPr>
        <w:t>”).</w:t>
      </w:r>
    </w:p>
    <w:p w14:paraId="460BD24D" w14:textId="7C40952D" w:rsidR="00F31943" w:rsidRDefault="00F31943" w:rsidP="00F31943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</w:t>
      </w:r>
      <w:r w:rsidR="00B94B36">
        <w:rPr>
          <w:lang w:val="en-US"/>
        </w:rPr>
        <w:t xml:space="preserve">Parties </w:t>
      </w:r>
      <w:r>
        <w:rPr>
          <w:lang w:val="en-US"/>
        </w:rPr>
        <w:t xml:space="preserve">concluded an agreement for distribution of the Device </w:t>
      </w:r>
      <w:r w:rsidR="00B6515D">
        <w:rPr>
          <w:lang w:val="en-US"/>
        </w:rPr>
        <w:t>i</w:t>
      </w:r>
      <w:r>
        <w:rPr>
          <w:lang w:val="en-US"/>
        </w:rPr>
        <w:t>n the territory of Poland.</w:t>
      </w:r>
    </w:p>
    <w:p w14:paraId="6FCD8557" w14:textId="22E07A82" w:rsidR="00F31943" w:rsidRDefault="00332AF3" w:rsidP="00F31943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Under Polish law, </w:t>
      </w:r>
      <w:r w:rsidR="00F31943">
        <w:rPr>
          <w:lang w:val="en-US"/>
        </w:rPr>
        <w:t xml:space="preserve">Device </w:t>
      </w:r>
      <w:r>
        <w:rPr>
          <w:lang w:val="en-US"/>
        </w:rPr>
        <w:t xml:space="preserve">may be made </w:t>
      </w:r>
      <w:r w:rsidR="00F31943">
        <w:rPr>
          <w:lang w:val="en-US"/>
        </w:rPr>
        <w:t>available</w:t>
      </w:r>
      <w:r w:rsidR="00AA1A3F">
        <w:rPr>
          <w:lang w:val="en-US"/>
        </w:rPr>
        <w:t xml:space="preserve"> </w:t>
      </w:r>
      <w:r>
        <w:rPr>
          <w:lang w:val="en-US"/>
        </w:rPr>
        <w:t xml:space="preserve">to </w:t>
      </w:r>
      <w:r w:rsidR="00F6780A">
        <w:rPr>
          <w:lang w:val="en-US"/>
        </w:rPr>
        <w:t xml:space="preserve">Polish </w:t>
      </w:r>
      <w:r w:rsidR="00D27803">
        <w:rPr>
          <w:lang w:val="en-US"/>
        </w:rPr>
        <w:t>lay users</w:t>
      </w:r>
      <w:r w:rsidR="00A87ECC">
        <w:rPr>
          <w:lang w:val="en-US"/>
        </w:rPr>
        <w:t xml:space="preserve"> on condition </w:t>
      </w:r>
      <w:r w:rsidR="00F31943">
        <w:rPr>
          <w:lang w:val="en-US"/>
        </w:rPr>
        <w:t xml:space="preserve">all obligatory </w:t>
      </w:r>
      <w:r w:rsidR="00811861">
        <w:rPr>
          <w:lang w:val="en-US"/>
        </w:rPr>
        <w:t xml:space="preserve">text </w:t>
      </w:r>
      <w:r w:rsidR="00F31943">
        <w:rPr>
          <w:lang w:val="en-US"/>
        </w:rPr>
        <w:t>information</w:t>
      </w:r>
      <w:r w:rsidR="00584146">
        <w:rPr>
          <w:lang w:val="en-US"/>
        </w:rPr>
        <w:t>, including IFU (where applicable) and labelling,</w:t>
      </w:r>
      <w:r w:rsidR="00F31943">
        <w:rPr>
          <w:lang w:val="en-US"/>
        </w:rPr>
        <w:t xml:space="preserve"> supplied with Device</w:t>
      </w:r>
      <w:r w:rsidR="00A94BA3">
        <w:rPr>
          <w:lang w:val="en-US"/>
        </w:rPr>
        <w:t xml:space="preserve"> </w:t>
      </w:r>
      <w:r w:rsidR="001F7C64" w:rsidRPr="001F7C64">
        <w:rPr>
          <w:lang w:val="en-US"/>
        </w:rPr>
        <w:t>in accordance with Section 23 of Annex I</w:t>
      </w:r>
      <w:r w:rsidR="00AA1A3F">
        <w:rPr>
          <w:lang w:val="en-US"/>
        </w:rPr>
        <w:t xml:space="preserve"> of MDR (hereinafter: “</w:t>
      </w:r>
      <w:r w:rsidR="00AA1A3F" w:rsidRPr="00A94BA3">
        <w:rPr>
          <w:b/>
          <w:bCs/>
          <w:lang w:val="en-US"/>
        </w:rPr>
        <w:t>Information</w:t>
      </w:r>
      <w:r w:rsidR="00AA1A3F">
        <w:rPr>
          <w:lang w:val="en-US"/>
        </w:rPr>
        <w:t>”)</w:t>
      </w:r>
      <w:r w:rsidR="001F7C64" w:rsidRPr="001F7C64">
        <w:rPr>
          <w:lang w:val="en-US"/>
        </w:rPr>
        <w:t xml:space="preserve">, </w:t>
      </w:r>
      <w:r w:rsidR="00A87ECC">
        <w:rPr>
          <w:lang w:val="en-US"/>
        </w:rPr>
        <w:t xml:space="preserve">are </w:t>
      </w:r>
      <w:r w:rsidR="00F31943">
        <w:rPr>
          <w:lang w:val="en-US"/>
        </w:rPr>
        <w:t>in Polish</w:t>
      </w:r>
      <w:r w:rsidR="001F7C64">
        <w:rPr>
          <w:lang w:val="en-US"/>
        </w:rPr>
        <w:t>.</w:t>
      </w:r>
    </w:p>
    <w:p w14:paraId="18C89D1A" w14:textId="780B4FB9" w:rsidR="00347041" w:rsidRDefault="00347041" w:rsidP="00F31943">
      <w:pPr>
        <w:pStyle w:val="Akapitzlist"/>
        <w:numPr>
          <w:ilvl w:val="0"/>
          <w:numId w:val="2"/>
        </w:num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The Parties wish to avoid </w:t>
      </w:r>
      <w:r w:rsidR="009156A8">
        <w:rPr>
          <w:lang w:val="en-US"/>
        </w:rPr>
        <w:t xml:space="preserve">situation where the Distributor is deemed </w:t>
      </w:r>
      <w:r w:rsidR="00AD4E71">
        <w:rPr>
          <w:lang w:val="en-US"/>
        </w:rPr>
        <w:t xml:space="preserve">an entity performing </w:t>
      </w:r>
      <w:r w:rsidR="002F2E53">
        <w:rPr>
          <w:lang w:val="en-US"/>
        </w:rPr>
        <w:t xml:space="preserve">independently, </w:t>
      </w:r>
      <w:r w:rsidR="00AD4E71">
        <w:rPr>
          <w:lang w:val="en-US"/>
        </w:rPr>
        <w:t>in its own right and on its own behalf</w:t>
      </w:r>
      <w:r w:rsidR="002F2E53">
        <w:rPr>
          <w:lang w:val="en-US"/>
        </w:rPr>
        <w:t>,</w:t>
      </w:r>
      <w:r w:rsidR="00AD4E71">
        <w:rPr>
          <w:lang w:val="en-US"/>
        </w:rPr>
        <w:t xml:space="preserve"> </w:t>
      </w:r>
      <w:r w:rsidR="009156A8">
        <w:rPr>
          <w:lang w:val="en-US"/>
        </w:rPr>
        <w:t xml:space="preserve">activities referred to art. 16 sec. </w:t>
      </w:r>
      <w:r w:rsidR="00AD4E71">
        <w:rPr>
          <w:lang w:val="en-US"/>
        </w:rPr>
        <w:t>2</w:t>
      </w:r>
      <w:r w:rsidR="009156A8">
        <w:rPr>
          <w:lang w:val="en-US"/>
        </w:rPr>
        <w:t xml:space="preserve"> </w:t>
      </w:r>
      <w:r w:rsidR="00AD4E71">
        <w:rPr>
          <w:lang w:val="en-US"/>
        </w:rPr>
        <w:t>and 3 of MDR.</w:t>
      </w:r>
    </w:p>
    <w:p w14:paraId="4B536E4E" w14:textId="77777777" w:rsidR="006D6291" w:rsidRDefault="006D6291" w:rsidP="00626C14">
      <w:pPr>
        <w:pStyle w:val="Akapitzlist"/>
        <w:spacing w:line="276" w:lineRule="auto"/>
        <w:jc w:val="both"/>
        <w:rPr>
          <w:lang w:val="en-US"/>
        </w:rPr>
      </w:pPr>
    </w:p>
    <w:bookmarkEnd w:id="0"/>
    <w:p w14:paraId="20B746D0" w14:textId="23F4EB7B" w:rsidR="00082067" w:rsidRPr="00F31943" w:rsidRDefault="00A87ECC" w:rsidP="00082067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IT IS </w:t>
      </w:r>
      <w:r w:rsidR="00082067" w:rsidRPr="00F31943">
        <w:rPr>
          <w:b/>
          <w:bCs/>
          <w:lang w:val="en-US"/>
        </w:rPr>
        <w:t>AGREED AS FOLLOWS:</w:t>
      </w:r>
    </w:p>
    <w:p w14:paraId="6A2C7834" w14:textId="0FF9197D" w:rsidR="00404E24" w:rsidRPr="00790D6B" w:rsidRDefault="00946CBC" w:rsidP="00790D6B">
      <w:pPr>
        <w:spacing w:after="0"/>
        <w:jc w:val="center"/>
        <w:rPr>
          <w:b/>
          <w:bCs/>
          <w:lang w:val="en-US"/>
        </w:rPr>
      </w:pPr>
      <w:r w:rsidRPr="00790D6B">
        <w:rPr>
          <w:b/>
          <w:bCs/>
          <w:lang w:val="en-US"/>
        </w:rPr>
        <w:t>§1</w:t>
      </w:r>
    </w:p>
    <w:p w14:paraId="747E08EA" w14:textId="77777777" w:rsidR="00790D6B" w:rsidRDefault="00790D6B" w:rsidP="00937C6E">
      <w:pPr>
        <w:pStyle w:val="Akapitzlist"/>
        <w:jc w:val="both"/>
        <w:rPr>
          <w:lang w:val="en-US"/>
        </w:rPr>
      </w:pPr>
    </w:p>
    <w:p w14:paraId="3200BADA" w14:textId="2D99B580" w:rsidR="006A3928" w:rsidRDefault="006A3928" w:rsidP="00977A38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The Manufacturer </w:t>
      </w:r>
      <w:r w:rsidR="00A87ECC">
        <w:rPr>
          <w:lang w:val="en-US"/>
        </w:rPr>
        <w:t xml:space="preserve">mandates </w:t>
      </w:r>
      <w:r>
        <w:rPr>
          <w:lang w:val="en-US"/>
        </w:rPr>
        <w:t xml:space="preserve">and the Distributor accepts the </w:t>
      </w:r>
      <w:r w:rsidR="00A87ECC">
        <w:rPr>
          <w:lang w:val="en-US"/>
        </w:rPr>
        <w:t xml:space="preserve">mandate </w:t>
      </w:r>
      <w:r>
        <w:rPr>
          <w:lang w:val="en-US"/>
        </w:rPr>
        <w:t xml:space="preserve">to translate and provide all </w:t>
      </w:r>
      <w:r w:rsidR="00113F04">
        <w:rPr>
          <w:lang w:val="en-US"/>
        </w:rPr>
        <w:t>Information</w:t>
      </w:r>
      <w:r>
        <w:rPr>
          <w:lang w:val="en-US"/>
        </w:rPr>
        <w:t xml:space="preserve"> supplied with Device in Polish language</w:t>
      </w:r>
      <w:r w:rsidR="001F7C64">
        <w:rPr>
          <w:lang w:val="en-US"/>
        </w:rPr>
        <w:t>.</w:t>
      </w:r>
    </w:p>
    <w:p w14:paraId="1DF1521C" w14:textId="23A8415B" w:rsidR="00FA50FB" w:rsidRDefault="00FA50FB" w:rsidP="00FA50FB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The Parties agree that:</w:t>
      </w:r>
    </w:p>
    <w:p w14:paraId="1C112FFF" w14:textId="5D53AFA8" w:rsidR="00A94BA3" w:rsidRDefault="00FA50FB" w:rsidP="00A94BA3">
      <w:pPr>
        <w:pStyle w:val="Akapitzlist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t</w:t>
      </w:r>
      <w:r w:rsidR="001F7C64" w:rsidRPr="00FA50FB">
        <w:rPr>
          <w:lang w:val="en-US"/>
        </w:rPr>
        <w:t xml:space="preserve">he Distributor </w:t>
      </w:r>
      <w:r w:rsidR="00257FC1">
        <w:rPr>
          <w:lang w:val="en-US"/>
        </w:rPr>
        <w:t xml:space="preserve">shall </w:t>
      </w:r>
      <w:r w:rsidR="001F7C64" w:rsidRPr="00FA50FB">
        <w:rPr>
          <w:lang w:val="en-US"/>
        </w:rPr>
        <w:t xml:space="preserve">translate </w:t>
      </w:r>
      <w:r w:rsidR="00A94BA3">
        <w:rPr>
          <w:lang w:val="en-US"/>
        </w:rPr>
        <w:t xml:space="preserve">Information </w:t>
      </w:r>
      <w:r w:rsidR="00251B41">
        <w:rPr>
          <w:lang w:val="en-US"/>
        </w:rPr>
        <w:t xml:space="preserve">by </w:t>
      </w:r>
      <w:r w:rsidR="008A6085">
        <w:rPr>
          <w:lang w:val="en-US"/>
        </w:rPr>
        <w:t xml:space="preserve">means of </w:t>
      </w:r>
      <w:r w:rsidR="00094997">
        <w:rPr>
          <w:lang w:val="en-US"/>
        </w:rPr>
        <w:t xml:space="preserve">obtaining </w:t>
      </w:r>
      <w:r w:rsidR="001F7C64" w:rsidRPr="00FA50FB">
        <w:rPr>
          <w:lang w:val="en-US"/>
        </w:rPr>
        <w:t>professional translat</w:t>
      </w:r>
      <w:r w:rsidR="00094997">
        <w:rPr>
          <w:lang w:val="en-US"/>
        </w:rPr>
        <w:t>ion service</w:t>
      </w:r>
      <w:r w:rsidR="001F7C64" w:rsidRPr="00FA50FB">
        <w:rPr>
          <w:lang w:val="en-US"/>
        </w:rPr>
        <w:t xml:space="preserve"> </w:t>
      </w:r>
      <w:r w:rsidR="008A6085">
        <w:rPr>
          <w:lang w:val="en-US"/>
        </w:rPr>
        <w:t xml:space="preserve">ensuring </w:t>
      </w:r>
      <w:r w:rsidRPr="00FA50FB">
        <w:rPr>
          <w:lang w:val="en-US"/>
        </w:rPr>
        <w:t xml:space="preserve">appropriate </w:t>
      </w:r>
      <w:r w:rsidR="008A6085">
        <w:rPr>
          <w:lang w:val="en-US"/>
        </w:rPr>
        <w:t xml:space="preserve">skills, knowledge and </w:t>
      </w:r>
      <w:r w:rsidRPr="00FA50FB">
        <w:rPr>
          <w:lang w:val="en-US"/>
        </w:rPr>
        <w:t xml:space="preserve">experience </w:t>
      </w:r>
      <w:r w:rsidR="008A6085">
        <w:rPr>
          <w:lang w:val="en-US"/>
        </w:rPr>
        <w:t xml:space="preserve">in </w:t>
      </w:r>
      <w:r w:rsidR="00D6146F">
        <w:rPr>
          <w:lang w:val="en-US"/>
        </w:rPr>
        <w:t>the corresponding field</w:t>
      </w:r>
      <w:r w:rsidR="00A94BA3">
        <w:rPr>
          <w:lang w:val="en-US"/>
        </w:rPr>
        <w:t>;</w:t>
      </w:r>
    </w:p>
    <w:p w14:paraId="51239C01" w14:textId="540049FA" w:rsidR="00FA50FB" w:rsidRDefault="00A94BA3" w:rsidP="00A94BA3">
      <w:pPr>
        <w:pStyle w:val="Akapitzlist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the</w:t>
      </w:r>
      <w:r w:rsidR="00FA50FB" w:rsidRPr="00A94BA3">
        <w:rPr>
          <w:lang w:val="en-US"/>
        </w:rPr>
        <w:t xml:space="preserve"> translations </w:t>
      </w:r>
      <w:r w:rsidR="001E652F">
        <w:rPr>
          <w:lang w:val="en-US"/>
        </w:rPr>
        <w:t xml:space="preserve">shall </w:t>
      </w:r>
      <w:r w:rsidR="00FA50FB" w:rsidRPr="00A94BA3">
        <w:rPr>
          <w:lang w:val="en-US"/>
        </w:rPr>
        <w:t xml:space="preserve">be provided to </w:t>
      </w:r>
      <w:r>
        <w:rPr>
          <w:lang w:val="en-US"/>
        </w:rPr>
        <w:t xml:space="preserve">the </w:t>
      </w:r>
      <w:r w:rsidR="00FA50FB" w:rsidRPr="00A94BA3">
        <w:rPr>
          <w:lang w:val="en-US"/>
        </w:rPr>
        <w:t>Manufacturer</w:t>
      </w:r>
      <w:r>
        <w:rPr>
          <w:lang w:val="en-US"/>
        </w:rPr>
        <w:t xml:space="preserve"> for validation;</w:t>
      </w:r>
    </w:p>
    <w:p w14:paraId="2A27F17A" w14:textId="14D58F1C" w:rsidR="00A94BA3" w:rsidRDefault="00A94BA3" w:rsidP="00A94BA3">
      <w:pPr>
        <w:pStyle w:val="Akapitzlist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Manufacturer </w:t>
      </w:r>
      <w:r w:rsidR="00257FC1">
        <w:rPr>
          <w:lang w:val="en-US"/>
        </w:rPr>
        <w:t>shall</w:t>
      </w:r>
      <w:r>
        <w:rPr>
          <w:lang w:val="en-US"/>
        </w:rPr>
        <w:t xml:space="preserve"> validate the translations and inform the Distributor of positive validation or </w:t>
      </w:r>
      <w:r w:rsidR="00251B41">
        <w:rPr>
          <w:lang w:val="en-US"/>
        </w:rPr>
        <w:t>request further changes</w:t>
      </w:r>
      <w:r>
        <w:rPr>
          <w:lang w:val="en-US"/>
        </w:rPr>
        <w:t>;</w:t>
      </w:r>
    </w:p>
    <w:p w14:paraId="01B83701" w14:textId="587F54F3" w:rsidR="00A94BA3" w:rsidRPr="00A94BA3" w:rsidRDefault="00A94BA3" w:rsidP="00A94BA3">
      <w:pPr>
        <w:pStyle w:val="Akapitzlist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after positive validation of the translations</w:t>
      </w:r>
      <w:r w:rsidR="00113F04">
        <w:rPr>
          <w:lang w:val="en-US"/>
        </w:rPr>
        <w:t>,</w:t>
      </w:r>
      <w:r>
        <w:rPr>
          <w:lang w:val="en-US"/>
        </w:rPr>
        <w:t xml:space="preserve"> the Distributor</w:t>
      </w:r>
      <w:r w:rsidR="00493F6C">
        <w:rPr>
          <w:lang w:val="en-US"/>
        </w:rPr>
        <w:t xml:space="preserve"> </w:t>
      </w:r>
      <w:r w:rsidR="00D6146F">
        <w:rPr>
          <w:lang w:val="en-US"/>
        </w:rPr>
        <w:t xml:space="preserve">shall </w:t>
      </w:r>
      <w:r>
        <w:rPr>
          <w:lang w:val="en-US"/>
        </w:rPr>
        <w:t xml:space="preserve">provide the translated </w:t>
      </w:r>
      <w:r w:rsidR="00D6146F">
        <w:rPr>
          <w:lang w:val="en-US"/>
        </w:rPr>
        <w:t>I</w:t>
      </w:r>
      <w:r w:rsidR="00493F6C">
        <w:rPr>
          <w:lang w:val="en-US"/>
        </w:rPr>
        <w:t>nformation on</w:t>
      </w:r>
      <w:r w:rsidR="00D6146F">
        <w:rPr>
          <w:lang w:val="en-US"/>
        </w:rPr>
        <w:t>/with</w:t>
      </w:r>
      <w:r w:rsidR="00493F6C">
        <w:rPr>
          <w:lang w:val="en-US"/>
        </w:rPr>
        <w:t xml:space="preserve"> Device.</w:t>
      </w:r>
    </w:p>
    <w:p w14:paraId="6F5693B9" w14:textId="77777777" w:rsidR="00015E9E" w:rsidRDefault="00015E9E" w:rsidP="00493F6C">
      <w:pPr>
        <w:jc w:val="center"/>
        <w:rPr>
          <w:b/>
          <w:bCs/>
          <w:lang w:val="en-US"/>
        </w:rPr>
      </w:pPr>
    </w:p>
    <w:p w14:paraId="0E8CDFAD" w14:textId="54A8EB45" w:rsidR="00493F6C" w:rsidRDefault="00493F6C" w:rsidP="00493F6C">
      <w:pPr>
        <w:jc w:val="center"/>
        <w:rPr>
          <w:b/>
          <w:bCs/>
          <w:lang w:val="en-US"/>
        </w:rPr>
      </w:pPr>
      <w:r w:rsidRPr="00AA193F">
        <w:rPr>
          <w:b/>
          <w:bCs/>
          <w:lang w:val="en-US"/>
        </w:rPr>
        <w:t>§2</w:t>
      </w:r>
    </w:p>
    <w:p w14:paraId="6E185F24" w14:textId="677AC812" w:rsidR="00C2494B" w:rsidRDefault="00086CCA" w:rsidP="00086CCA">
      <w:pPr>
        <w:pStyle w:val="Akapitzlist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The Manufacturer </w:t>
      </w:r>
      <w:r>
        <w:rPr>
          <w:lang w:val="en-US"/>
        </w:rPr>
        <w:t xml:space="preserve">represents that </w:t>
      </w:r>
      <w:r w:rsidR="001E652F">
        <w:rPr>
          <w:lang w:val="en-US"/>
        </w:rPr>
        <w:t xml:space="preserve">the activities mandated to the Distributor result from and are in compliance with the </w:t>
      </w:r>
      <w:r>
        <w:rPr>
          <w:lang w:val="en-US"/>
        </w:rPr>
        <w:t xml:space="preserve">quality management system </w:t>
      </w:r>
      <w:r w:rsidR="001E652F">
        <w:rPr>
          <w:lang w:val="en-US"/>
        </w:rPr>
        <w:t xml:space="preserve">covering production of Device. </w:t>
      </w:r>
    </w:p>
    <w:p w14:paraId="406BC2A4" w14:textId="64FE64EA" w:rsidR="004A1851" w:rsidRDefault="004A1851" w:rsidP="00086CCA">
      <w:pPr>
        <w:pStyle w:val="Akapitzlist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The activities to be performed under this Agreement are made on behalf of the Manufacturer.</w:t>
      </w:r>
    </w:p>
    <w:p w14:paraId="6C5A404A" w14:textId="3F75E8BF" w:rsidR="00C2494B" w:rsidRDefault="00C2494B" w:rsidP="00086CCA">
      <w:pPr>
        <w:pStyle w:val="Akapitzlist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The Distributor shall not bear any risk or liability versus third parties for the activities performed under this Agreement and shall not be </w:t>
      </w:r>
      <w:r w:rsidR="003C4173">
        <w:rPr>
          <w:lang w:val="en-US"/>
        </w:rPr>
        <w:t xml:space="preserve">deemed manufacturer within the meaning of art. 2 point 30 of MDR, nor entity referred to in art. 16 </w:t>
      </w:r>
      <w:r w:rsidR="00D877C0">
        <w:rPr>
          <w:lang w:val="en-US"/>
        </w:rPr>
        <w:t xml:space="preserve">sec. 2 and </w:t>
      </w:r>
      <w:r w:rsidR="003C4173">
        <w:rPr>
          <w:lang w:val="en-US"/>
        </w:rPr>
        <w:t>of MDR.</w:t>
      </w:r>
    </w:p>
    <w:p w14:paraId="10A7C067" w14:textId="0140BF9C" w:rsidR="00493F6C" w:rsidRPr="00493F6C" w:rsidRDefault="003C4173" w:rsidP="00493F6C">
      <w:pPr>
        <w:pStyle w:val="Akapitzlist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N</w:t>
      </w:r>
      <w:r w:rsidR="00493F6C">
        <w:rPr>
          <w:lang w:val="en-US"/>
        </w:rPr>
        <w:t xml:space="preserve">either Party is </w:t>
      </w:r>
      <w:r>
        <w:rPr>
          <w:lang w:val="en-US"/>
        </w:rPr>
        <w:t xml:space="preserve">entitled to </w:t>
      </w:r>
      <w:r w:rsidR="00493F6C">
        <w:rPr>
          <w:lang w:val="en-US"/>
        </w:rPr>
        <w:t xml:space="preserve">any remuneration for </w:t>
      </w:r>
      <w:r w:rsidR="00AA1A3F">
        <w:rPr>
          <w:lang w:val="en-US"/>
        </w:rPr>
        <w:t xml:space="preserve">the performance of the </w:t>
      </w:r>
      <w:r w:rsidR="00493F6C">
        <w:rPr>
          <w:lang w:val="en-US"/>
        </w:rPr>
        <w:t xml:space="preserve">activities </w:t>
      </w:r>
      <w:r w:rsidR="00AA1A3F">
        <w:rPr>
          <w:lang w:val="en-US"/>
        </w:rPr>
        <w:t>specified in th</w:t>
      </w:r>
      <w:r w:rsidR="00015E9E">
        <w:rPr>
          <w:lang w:val="en-US"/>
        </w:rPr>
        <w:t>is</w:t>
      </w:r>
      <w:r w:rsidR="00AA1A3F">
        <w:rPr>
          <w:lang w:val="en-US"/>
        </w:rPr>
        <w:t xml:space="preserve"> Agreement.</w:t>
      </w:r>
    </w:p>
    <w:p w14:paraId="1CBA68FF" w14:textId="77777777" w:rsidR="00451915" w:rsidRDefault="00451915" w:rsidP="00B7035A">
      <w:pPr>
        <w:pStyle w:val="Akapitzlist"/>
        <w:ind w:left="1440"/>
        <w:jc w:val="both"/>
        <w:rPr>
          <w:lang w:val="en-US"/>
        </w:rPr>
      </w:pPr>
    </w:p>
    <w:p w14:paraId="2017B34E" w14:textId="2BFA0DB6" w:rsidR="00B63B21" w:rsidRPr="00587666" w:rsidRDefault="00B63B21" w:rsidP="00B63B21">
      <w:pPr>
        <w:jc w:val="center"/>
        <w:rPr>
          <w:b/>
          <w:bCs/>
          <w:lang w:val="en-US"/>
        </w:rPr>
      </w:pPr>
      <w:r w:rsidRPr="00587666">
        <w:rPr>
          <w:b/>
          <w:bCs/>
          <w:lang w:val="en-US"/>
        </w:rPr>
        <w:t>§</w:t>
      </w:r>
      <w:r w:rsidR="00AA1A3F">
        <w:rPr>
          <w:b/>
          <w:bCs/>
          <w:lang w:val="en-US"/>
        </w:rPr>
        <w:t>3</w:t>
      </w:r>
    </w:p>
    <w:p w14:paraId="185FAB48" w14:textId="43B5A1A8" w:rsidR="00B63B21" w:rsidRDefault="00B63B21" w:rsidP="00F31943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B63B21">
        <w:rPr>
          <w:lang w:val="en-US"/>
        </w:rPr>
        <w:t xml:space="preserve">Any changes to the </w:t>
      </w:r>
      <w:r w:rsidR="00113F04">
        <w:rPr>
          <w:lang w:val="en-US"/>
        </w:rPr>
        <w:t>A</w:t>
      </w:r>
      <w:r w:rsidRPr="00B63B21">
        <w:rPr>
          <w:lang w:val="en-US"/>
        </w:rPr>
        <w:t>greement must be made in writing under</w:t>
      </w:r>
      <w:r w:rsidR="00587666">
        <w:rPr>
          <w:lang w:val="en-US"/>
        </w:rPr>
        <w:t xml:space="preserve"> the</w:t>
      </w:r>
      <w:r w:rsidRPr="00B63B21">
        <w:rPr>
          <w:lang w:val="en-US"/>
        </w:rPr>
        <w:t xml:space="preserve"> pain of nullity.</w:t>
      </w:r>
    </w:p>
    <w:p w14:paraId="430D1344" w14:textId="29893338" w:rsidR="00B63B21" w:rsidRDefault="00B63B21" w:rsidP="00F31943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B63B21">
        <w:rPr>
          <w:lang w:val="en-US"/>
        </w:rPr>
        <w:t xml:space="preserve">This </w:t>
      </w:r>
      <w:r w:rsidR="00113F04">
        <w:rPr>
          <w:lang w:val="en-US"/>
        </w:rPr>
        <w:t>A</w:t>
      </w:r>
      <w:r w:rsidRPr="00B63B21">
        <w:rPr>
          <w:lang w:val="en-US"/>
        </w:rPr>
        <w:t>greement shall be governed by the laws of the Republic of Poland</w:t>
      </w:r>
      <w:r>
        <w:rPr>
          <w:lang w:val="en-US"/>
        </w:rPr>
        <w:t>.</w:t>
      </w:r>
    </w:p>
    <w:p w14:paraId="0B053540" w14:textId="0E09AC91" w:rsidR="00B63B21" w:rsidRPr="00B63B21" w:rsidRDefault="00B63B21" w:rsidP="00F31943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B63B21">
        <w:rPr>
          <w:lang w:val="en-US"/>
        </w:rPr>
        <w:t xml:space="preserve">Any dispute, controversy or claim arising out of or in connection with this </w:t>
      </w:r>
      <w:r w:rsidR="00113F04">
        <w:rPr>
          <w:lang w:val="en-US"/>
        </w:rPr>
        <w:t>A</w:t>
      </w:r>
      <w:r w:rsidRPr="00B63B21">
        <w:rPr>
          <w:lang w:val="en-US"/>
        </w:rPr>
        <w:t>greement, or the breach or violation of its provisions, termination or invalidity thereof, shall be finally settled by the competent common court in Warsaw</w:t>
      </w:r>
      <w:r>
        <w:rPr>
          <w:lang w:val="en-US"/>
        </w:rPr>
        <w:t xml:space="preserve">. </w:t>
      </w:r>
    </w:p>
    <w:p w14:paraId="109ED7D6" w14:textId="7B1ECCE9" w:rsidR="00B63B21" w:rsidRPr="00B63B21" w:rsidRDefault="00B63B21" w:rsidP="00F31943">
      <w:pPr>
        <w:pStyle w:val="Akapitzlist"/>
        <w:numPr>
          <w:ilvl w:val="0"/>
          <w:numId w:val="6"/>
        </w:numPr>
        <w:jc w:val="both"/>
        <w:rPr>
          <w:lang w:val="en-US"/>
        </w:rPr>
      </w:pPr>
      <w:r w:rsidRPr="00B63B21">
        <w:rPr>
          <w:lang w:val="en-US"/>
        </w:rPr>
        <w:t xml:space="preserve">This </w:t>
      </w:r>
      <w:r w:rsidR="00113F04">
        <w:rPr>
          <w:lang w:val="en-US"/>
        </w:rPr>
        <w:t>A</w:t>
      </w:r>
      <w:r w:rsidRPr="00B63B21">
        <w:rPr>
          <w:lang w:val="en-US"/>
        </w:rPr>
        <w:t xml:space="preserve">greement has been duly executed in two (2) identical originals, </w:t>
      </w:r>
      <w:r w:rsidR="00B94B36">
        <w:rPr>
          <w:lang w:val="en-US"/>
        </w:rPr>
        <w:t xml:space="preserve">each for one of the Parties. </w:t>
      </w:r>
    </w:p>
    <w:p w14:paraId="4EA85A47" w14:textId="7036B2CA" w:rsidR="00363E4C" w:rsidRPr="00363E4C" w:rsidRDefault="00363E4C" w:rsidP="00363E4C">
      <w:pPr>
        <w:ind w:left="360"/>
        <w:jc w:val="both"/>
        <w:rPr>
          <w:lang w:val="en-US"/>
        </w:rPr>
      </w:pPr>
    </w:p>
    <w:p w14:paraId="0E901194" w14:textId="77777777" w:rsidR="006C4040" w:rsidRPr="00631DA3" w:rsidRDefault="006C4040" w:rsidP="006C4040">
      <w:pPr>
        <w:pStyle w:val="Akapitzlist"/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195" w:rsidRPr="00084ED0" w14:paraId="37A78CB7" w14:textId="77777777" w:rsidTr="00587666">
        <w:trPr>
          <w:trHeight w:val="1823"/>
        </w:trPr>
        <w:tc>
          <w:tcPr>
            <w:tcW w:w="4531" w:type="dxa"/>
          </w:tcPr>
          <w:p w14:paraId="0E51A668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07F923D9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0154A3D7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46E5A50C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20878C51" w14:textId="271E0D01" w:rsidR="002A0195" w:rsidRDefault="002A0195">
            <w:pPr>
              <w:rPr>
                <w:b/>
                <w:bCs/>
                <w:lang w:val="en-US"/>
              </w:rPr>
            </w:pPr>
          </w:p>
        </w:tc>
        <w:tc>
          <w:tcPr>
            <w:tcW w:w="4531" w:type="dxa"/>
          </w:tcPr>
          <w:p w14:paraId="0B1ECCE8" w14:textId="77777777" w:rsidR="002A0195" w:rsidRDefault="002A0195">
            <w:pPr>
              <w:rPr>
                <w:b/>
                <w:bCs/>
                <w:lang w:val="en-US"/>
              </w:rPr>
            </w:pPr>
          </w:p>
        </w:tc>
      </w:tr>
      <w:tr w:rsidR="002A0195" w:rsidRPr="00084ED0" w14:paraId="02C33B55" w14:textId="77777777" w:rsidTr="00587666">
        <w:trPr>
          <w:trHeight w:val="1835"/>
        </w:trPr>
        <w:tc>
          <w:tcPr>
            <w:tcW w:w="4531" w:type="dxa"/>
          </w:tcPr>
          <w:p w14:paraId="6D76524C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0A476C0A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6CDD485B" w14:textId="77777777" w:rsidR="002A0195" w:rsidRDefault="002A0195">
            <w:pPr>
              <w:rPr>
                <w:b/>
                <w:bCs/>
                <w:lang w:val="en-US"/>
              </w:rPr>
            </w:pPr>
          </w:p>
          <w:p w14:paraId="31CE174E" w14:textId="7108777F" w:rsidR="002A0195" w:rsidRDefault="002A0195">
            <w:pPr>
              <w:rPr>
                <w:b/>
                <w:bCs/>
                <w:lang w:val="en-US"/>
              </w:rPr>
            </w:pPr>
          </w:p>
        </w:tc>
        <w:tc>
          <w:tcPr>
            <w:tcW w:w="4531" w:type="dxa"/>
          </w:tcPr>
          <w:p w14:paraId="4A60E879" w14:textId="77777777" w:rsidR="002A0195" w:rsidRDefault="002A0195">
            <w:pPr>
              <w:rPr>
                <w:b/>
                <w:bCs/>
                <w:lang w:val="en-US"/>
              </w:rPr>
            </w:pPr>
          </w:p>
        </w:tc>
      </w:tr>
      <w:tr w:rsidR="00587666" w:rsidRPr="00F31943" w14:paraId="26230891" w14:textId="77777777" w:rsidTr="002A0195">
        <w:tc>
          <w:tcPr>
            <w:tcW w:w="4531" w:type="dxa"/>
          </w:tcPr>
          <w:p w14:paraId="0744B88A" w14:textId="1247199B" w:rsidR="00587666" w:rsidRDefault="00AA1A3F" w:rsidP="005876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DISTRIBUTOR</w:t>
            </w:r>
          </w:p>
        </w:tc>
        <w:tc>
          <w:tcPr>
            <w:tcW w:w="4531" w:type="dxa"/>
          </w:tcPr>
          <w:p w14:paraId="72684B70" w14:textId="175913E6" w:rsidR="00587666" w:rsidRDefault="00AA1A3F" w:rsidP="005876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MANUFACTURER</w:t>
            </w:r>
          </w:p>
        </w:tc>
      </w:tr>
    </w:tbl>
    <w:p w14:paraId="64F66137" w14:textId="53E3196F" w:rsidR="00CC4C1D" w:rsidRPr="00631DA3" w:rsidRDefault="00CC4C1D">
      <w:pPr>
        <w:rPr>
          <w:b/>
          <w:bCs/>
          <w:lang w:val="en-US"/>
        </w:rPr>
      </w:pPr>
    </w:p>
    <w:sectPr w:rsidR="00CC4C1D" w:rsidRPr="0063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C7246"/>
    <w:multiLevelType w:val="hybridMultilevel"/>
    <w:tmpl w:val="5274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59A"/>
    <w:multiLevelType w:val="hybridMultilevel"/>
    <w:tmpl w:val="44387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713"/>
    <w:multiLevelType w:val="hybridMultilevel"/>
    <w:tmpl w:val="6A84E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E06"/>
    <w:multiLevelType w:val="hybridMultilevel"/>
    <w:tmpl w:val="5274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E20C8"/>
    <w:multiLevelType w:val="hybridMultilevel"/>
    <w:tmpl w:val="C5FCC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D01FC"/>
    <w:multiLevelType w:val="hybridMultilevel"/>
    <w:tmpl w:val="C23AB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0D5C"/>
    <w:multiLevelType w:val="hybridMultilevel"/>
    <w:tmpl w:val="43FCA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1D"/>
    <w:rsid w:val="00015E9E"/>
    <w:rsid w:val="00075117"/>
    <w:rsid w:val="00082067"/>
    <w:rsid w:val="00084ED0"/>
    <w:rsid w:val="00086CCA"/>
    <w:rsid w:val="00094997"/>
    <w:rsid w:val="000C5546"/>
    <w:rsid w:val="000D6BBE"/>
    <w:rsid w:val="00113F04"/>
    <w:rsid w:val="00141147"/>
    <w:rsid w:val="00184AE7"/>
    <w:rsid w:val="001B5B2D"/>
    <w:rsid w:val="001E652F"/>
    <w:rsid w:val="001F7C64"/>
    <w:rsid w:val="002021CF"/>
    <w:rsid w:val="00232216"/>
    <w:rsid w:val="002361A8"/>
    <w:rsid w:val="00251B41"/>
    <w:rsid w:val="00257FC1"/>
    <w:rsid w:val="002A0195"/>
    <w:rsid w:val="002B3B0F"/>
    <w:rsid w:val="002E55FF"/>
    <w:rsid w:val="002F2E53"/>
    <w:rsid w:val="002F71BD"/>
    <w:rsid w:val="00307905"/>
    <w:rsid w:val="00332AF3"/>
    <w:rsid w:val="00347041"/>
    <w:rsid w:val="00363E4C"/>
    <w:rsid w:val="003B03C5"/>
    <w:rsid w:val="003C4173"/>
    <w:rsid w:val="00404E24"/>
    <w:rsid w:val="00417C2E"/>
    <w:rsid w:val="00451915"/>
    <w:rsid w:val="00492A23"/>
    <w:rsid w:val="00493F6C"/>
    <w:rsid w:val="004A1851"/>
    <w:rsid w:val="004E5233"/>
    <w:rsid w:val="004F5E20"/>
    <w:rsid w:val="00584146"/>
    <w:rsid w:val="00587666"/>
    <w:rsid w:val="005F6EF9"/>
    <w:rsid w:val="00610B44"/>
    <w:rsid w:val="0061725C"/>
    <w:rsid w:val="00621A35"/>
    <w:rsid w:val="006248E3"/>
    <w:rsid w:val="00626C14"/>
    <w:rsid w:val="00631DA3"/>
    <w:rsid w:val="0065070A"/>
    <w:rsid w:val="006A3928"/>
    <w:rsid w:val="006C4040"/>
    <w:rsid w:val="006D6291"/>
    <w:rsid w:val="007443A3"/>
    <w:rsid w:val="00790D6B"/>
    <w:rsid w:val="00811861"/>
    <w:rsid w:val="00882644"/>
    <w:rsid w:val="0089678E"/>
    <w:rsid w:val="008A0052"/>
    <w:rsid w:val="008A6085"/>
    <w:rsid w:val="008B572F"/>
    <w:rsid w:val="009156A8"/>
    <w:rsid w:val="00935D19"/>
    <w:rsid w:val="00937C6E"/>
    <w:rsid w:val="00946CBC"/>
    <w:rsid w:val="00975FB4"/>
    <w:rsid w:val="00977A38"/>
    <w:rsid w:val="009C03E2"/>
    <w:rsid w:val="00A17C27"/>
    <w:rsid w:val="00A336E9"/>
    <w:rsid w:val="00A54DB5"/>
    <w:rsid w:val="00A67294"/>
    <w:rsid w:val="00A83A7B"/>
    <w:rsid w:val="00A87ECC"/>
    <w:rsid w:val="00A94BA3"/>
    <w:rsid w:val="00AA193F"/>
    <w:rsid w:val="00AA1A3F"/>
    <w:rsid w:val="00AA3E75"/>
    <w:rsid w:val="00AD4E71"/>
    <w:rsid w:val="00B137D8"/>
    <w:rsid w:val="00B63B21"/>
    <w:rsid w:val="00B6515D"/>
    <w:rsid w:val="00B7035A"/>
    <w:rsid w:val="00B94B36"/>
    <w:rsid w:val="00BC3A88"/>
    <w:rsid w:val="00C03089"/>
    <w:rsid w:val="00C0629C"/>
    <w:rsid w:val="00C2494B"/>
    <w:rsid w:val="00CC4C1D"/>
    <w:rsid w:val="00D028D7"/>
    <w:rsid w:val="00D0629A"/>
    <w:rsid w:val="00D27803"/>
    <w:rsid w:val="00D43722"/>
    <w:rsid w:val="00D6146F"/>
    <w:rsid w:val="00D877C0"/>
    <w:rsid w:val="00DA01C5"/>
    <w:rsid w:val="00DC0266"/>
    <w:rsid w:val="00DE19FC"/>
    <w:rsid w:val="00E51C7D"/>
    <w:rsid w:val="00EA765F"/>
    <w:rsid w:val="00F31943"/>
    <w:rsid w:val="00F629F8"/>
    <w:rsid w:val="00F62FA8"/>
    <w:rsid w:val="00F6780A"/>
    <w:rsid w:val="00F93688"/>
    <w:rsid w:val="00FA50FB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D117"/>
  <w15:chartTrackingRefBased/>
  <w15:docId w15:val="{7E67D030-2F55-4993-BE4B-4FE86A4E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C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CB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3A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A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A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A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A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80540-054A-474C-A799-C06B7778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494</Words>
  <Characters>2968</Characters>
  <Application>Microsoft Office Word</Application>
  <DocSecurity>0</DocSecurity>
  <Lines>24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Platta</dc:creator>
  <cp:keywords/>
  <dc:description/>
  <cp:lastModifiedBy>Oskar Luty</cp:lastModifiedBy>
  <cp:revision>37</cp:revision>
  <dcterms:created xsi:type="dcterms:W3CDTF">2021-03-24T16:27:00Z</dcterms:created>
  <dcterms:modified xsi:type="dcterms:W3CDTF">2021-03-29T10:25:00Z</dcterms:modified>
</cp:coreProperties>
</file>